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长春工业大学</w:t>
      </w:r>
      <w:r>
        <w:rPr>
          <w:rFonts w:hint="eastAsia" w:ascii="方正小标宋简体" w:hAnsi="方正小标宋简体" w:eastAsia="方正小标宋简体" w:cs="方正小标宋简体"/>
          <w:sz w:val="36"/>
          <w:szCs w:val="36"/>
        </w:rPr>
        <w:t>201</w:t>
      </w:r>
      <w:r>
        <w:rPr>
          <w:rFonts w:hint="eastAsia" w:ascii="方正小标宋简体" w:hAnsi="方正小标宋简体" w:eastAsia="方正小标宋简体" w:cs="方正小标宋简体"/>
          <w:sz w:val="36"/>
          <w:szCs w:val="36"/>
          <w:lang w:val="en-US" w:eastAsia="zh-CN"/>
        </w:rPr>
        <w:t>9</w:t>
      </w:r>
      <w:r>
        <w:rPr>
          <w:rFonts w:hint="eastAsia" w:ascii="方正小标宋简体" w:hAnsi="方正小标宋简体" w:eastAsia="方正小标宋简体" w:cs="方正小标宋简体"/>
          <w:sz w:val="36"/>
          <w:szCs w:val="36"/>
        </w:rPr>
        <w:t>年度吉林省本科高等教育</w:t>
      </w:r>
    </w:p>
    <w:p>
      <w:pPr>
        <w:jc w:val="center"/>
        <w:rPr>
          <w:rFonts w:hint="eastAsia"/>
        </w:rPr>
      </w:pPr>
      <w:r>
        <w:rPr>
          <w:rFonts w:hint="eastAsia" w:ascii="方正小标宋简体" w:hAnsi="方正小标宋简体" w:eastAsia="方正小标宋简体" w:cs="方正小标宋简体"/>
          <w:sz w:val="36"/>
          <w:szCs w:val="36"/>
        </w:rPr>
        <w:t>教学改革立项课题名单</w:t>
      </w:r>
    </w:p>
    <w:p>
      <w:pPr>
        <w:rPr>
          <w:rFonts w:hint="eastAsia"/>
        </w:rPr>
      </w:pPr>
      <w:r>
        <w:rPr>
          <w:rFonts w:hint="eastAsia"/>
        </w:rPr>
        <w:t xml:space="preserve"> </w:t>
      </w:r>
    </w:p>
    <w:p>
      <w:pPr>
        <w:rPr>
          <w:rFonts w:hint="eastAsia"/>
        </w:rPr>
      </w:pPr>
    </w:p>
    <w:tbl>
      <w:tblPr>
        <w:tblStyle w:val="5"/>
        <w:tblW w:w="8923" w:type="dxa"/>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2655"/>
        <w:gridCol w:w="700"/>
        <w:gridCol w:w="1000"/>
        <w:gridCol w:w="2467"/>
        <w:gridCol w:w="1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tblHeader/>
        </w:trPr>
        <w:tc>
          <w:tcPr>
            <w:tcW w:w="651" w:type="dxa"/>
            <w:shd w:val="clear" w:color="auto" w:fill="D6DCE4" w:themeFill="text2" w:themeFillTint="33"/>
            <w:vAlign w:val="center"/>
          </w:tcPr>
          <w:p>
            <w:pPr>
              <w:jc w:val="center"/>
              <w:rPr>
                <w:rFonts w:hint="eastAsia" w:ascii="宋体" w:hAnsi="宋体" w:eastAsia="宋体" w:cs="宋体"/>
                <w:bCs/>
                <w:sz w:val="21"/>
                <w:szCs w:val="21"/>
              </w:rPr>
            </w:pPr>
            <w:bookmarkStart w:id="0" w:name="_GoBack"/>
            <w:bookmarkEnd w:id="0"/>
            <w:r>
              <w:rPr>
                <w:rFonts w:hint="eastAsia" w:ascii="宋体" w:hAnsi="宋体" w:eastAsia="宋体" w:cs="宋体"/>
                <w:bCs/>
                <w:sz w:val="21"/>
                <w:szCs w:val="21"/>
              </w:rPr>
              <w:t>序号</w:t>
            </w:r>
          </w:p>
        </w:tc>
        <w:tc>
          <w:tcPr>
            <w:tcW w:w="2655" w:type="dxa"/>
            <w:shd w:val="clear" w:color="auto" w:fill="D6DCE4" w:themeFill="text2" w:themeFillTint="33"/>
            <w:vAlign w:val="center"/>
          </w:tcPr>
          <w:p>
            <w:pPr>
              <w:jc w:val="center"/>
              <w:rPr>
                <w:rFonts w:hint="eastAsia" w:ascii="宋体" w:hAnsi="宋体" w:eastAsia="宋体" w:cs="宋体"/>
                <w:bCs/>
                <w:sz w:val="21"/>
                <w:szCs w:val="21"/>
              </w:rPr>
            </w:pPr>
            <w:r>
              <w:rPr>
                <w:rFonts w:hint="eastAsia" w:ascii="宋体" w:hAnsi="宋体" w:eastAsia="宋体" w:cs="宋体"/>
                <w:bCs/>
                <w:sz w:val="21"/>
                <w:szCs w:val="21"/>
              </w:rPr>
              <w:t>课题名称</w:t>
            </w:r>
          </w:p>
        </w:tc>
        <w:tc>
          <w:tcPr>
            <w:tcW w:w="700" w:type="dxa"/>
            <w:shd w:val="clear" w:color="auto" w:fill="D6DCE4" w:themeFill="text2" w:themeFillTint="33"/>
            <w:vAlign w:val="center"/>
          </w:tcPr>
          <w:p>
            <w:pPr>
              <w:jc w:val="center"/>
              <w:rPr>
                <w:rFonts w:hint="eastAsia" w:ascii="宋体" w:hAnsi="宋体" w:eastAsia="宋体" w:cs="宋体"/>
                <w:bCs/>
                <w:sz w:val="21"/>
                <w:szCs w:val="21"/>
              </w:rPr>
            </w:pPr>
            <w:r>
              <w:rPr>
                <w:rFonts w:hint="eastAsia" w:ascii="宋体" w:hAnsi="宋体" w:eastAsia="宋体" w:cs="宋体"/>
                <w:bCs/>
                <w:sz w:val="21"/>
                <w:szCs w:val="21"/>
              </w:rPr>
              <w:t>类别</w:t>
            </w:r>
          </w:p>
        </w:tc>
        <w:tc>
          <w:tcPr>
            <w:tcW w:w="1000" w:type="dxa"/>
            <w:shd w:val="clear" w:color="auto" w:fill="D6DCE4" w:themeFill="text2" w:themeFillTint="33"/>
            <w:vAlign w:val="center"/>
          </w:tcPr>
          <w:p>
            <w:pPr>
              <w:jc w:val="center"/>
              <w:rPr>
                <w:rFonts w:hint="eastAsia" w:ascii="宋体" w:hAnsi="宋体" w:eastAsia="宋体" w:cs="宋体"/>
                <w:bCs/>
                <w:sz w:val="21"/>
                <w:szCs w:val="21"/>
              </w:rPr>
            </w:pPr>
            <w:r>
              <w:rPr>
                <w:rFonts w:hint="eastAsia" w:ascii="宋体" w:hAnsi="宋体" w:eastAsia="宋体" w:cs="宋体"/>
                <w:bCs/>
                <w:sz w:val="21"/>
                <w:szCs w:val="21"/>
              </w:rPr>
              <w:t>负责人</w:t>
            </w:r>
          </w:p>
        </w:tc>
        <w:tc>
          <w:tcPr>
            <w:tcW w:w="2467" w:type="dxa"/>
            <w:shd w:val="clear" w:color="auto" w:fill="D6DCE4" w:themeFill="text2" w:themeFillTint="33"/>
            <w:vAlign w:val="center"/>
          </w:tcPr>
          <w:p>
            <w:pPr>
              <w:jc w:val="center"/>
              <w:rPr>
                <w:rFonts w:hint="eastAsia" w:ascii="宋体" w:hAnsi="宋体" w:eastAsia="宋体" w:cs="宋体"/>
                <w:bCs/>
                <w:sz w:val="21"/>
                <w:szCs w:val="21"/>
              </w:rPr>
            </w:pPr>
            <w:r>
              <w:rPr>
                <w:rFonts w:hint="eastAsia" w:ascii="宋体" w:hAnsi="宋体" w:eastAsia="宋体" w:cs="宋体"/>
                <w:bCs/>
                <w:sz w:val="21"/>
                <w:szCs w:val="21"/>
              </w:rPr>
              <w:t>成员</w:t>
            </w:r>
          </w:p>
        </w:tc>
        <w:tc>
          <w:tcPr>
            <w:tcW w:w="1450" w:type="dxa"/>
            <w:shd w:val="clear" w:color="auto" w:fill="D6DCE4" w:themeFill="text2" w:themeFillTint="33"/>
            <w:vAlign w:val="center"/>
          </w:tcPr>
          <w:p>
            <w:pPr>
              <w:jc w:val="center"/>
              <w:rPr>
                <w:rFonts w:hint="eastAsia" w:ascii="宋体" w:hAnsi="宋体" w:eastAsia="宋体" w:cs="宋体"/>
                <w:bCs/>
                <w:sz w:val="21"/>
                <w:szCs w:val="21"/>
              </w:rPr>
            </w:pPr>
            <w:r>
              <w:rPr>
                <w:rFonts w:hint="eastAsia" w:ascii="宋体" w:hAnsi="宋体" w:eastAsia="宋体" w:cs="宋体"/>
                <w:bCs/>
                <w:sz w:val="21"/>
                <w:szCs w:val="21"/>
              </w:rPr>
              <w:t>申报部门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地方院校化学专业拔尖创新人才培养模式的研究与实践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重点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敖玉辉</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王志兵、赵振波、孙国英、姜春竹、段莉洁、关爽</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化学与生命科学学院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2</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工程教育认证背景下的机械类人才培养体系研究与实践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重点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李奇涵</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谷东伟、高嵩、刘小勇、陈鹏霏、卢明明</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机电工程学院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3</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基于工程教育专业认证理念的计算机类一流专业建设路径研究与实践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重点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赵辉</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刘丽伟、王贵参、王红梅、刘钢、姚庆安、郑山红、王涛</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计算机科学与工程学院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4</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基于工程教育认证核心理念的自动化一流专业建设研究与实践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重点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于微波</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杨宏韬、刘帅师、张秀梅、董博、刘克平、孙中波</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电气与电子工程学院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5</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基于“横班纵组 立体教育”公共管理类人才培养模式的探索与实践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曲永军</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陶宇、李盛基、汪泳、刘竹君、杨松明、蔡晶波</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公共管理学院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6</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基于工程教育认证的化工类一流专业建设路径研究与实践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李贞玉</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刁振恒、肖丹、杨旭东、邵珠宝、杨楠、王璐</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化学工程学院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大数据背景下高校教学督导工作问题研究</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周子明</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张宝昌、张志强、张恩忠、朱雪莲、张宇</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机电工程学院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大数据背景下的统计学专业人才创新创业教育课程、实践体系研究</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李纯净</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陈嘉、袁晓惠、董小刚、屈红雁、曲波</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数学与统计学院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地方院校卓越新闻传播人才培养计划实施与运行机制研究</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李赫</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曹智、李仲德、何灏、张佳楠、于欧洋、刘爽</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信息传播工程学院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服务多元需求的经管类一流专业建设研究与实践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张璇</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张玉智、张博、孙小明、高鹤、孙凤莲、董睿</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经济管理学院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基于“产出导向法”的研究生公共英语课程教学改革研究与实践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崔艳辉</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王轶、汪春艳、许铭桓、迟晓君、卫柯帆</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留学生院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“互联网+”背景下无机化学智慧教学的改革研究与实践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一般</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朱晓飞</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周德凤、王炳武、杨国程、彭悦、刘芳、赵宝华</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化学与生命科学学院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工程教育专业认证背景下普通化学系列金课建设的研究与实践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新工科专项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王宇超</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朱晓飞、周德凤、石金静、孙见蕊、刘梅、王严</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化学与生命科学学院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数字媒体技术专业校企合作协同育人人才培养机制的研究与实践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新工科专项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管媛辉</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于肆洋、陈天亨、吴德胜、朱玥、郎建军</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信息传播工程学院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51"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2655"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新时代思政课程与课程思政同向同行教学模式的探索与实践</w:t>
            </w:r>
          </w:p>
        </w:tc>
        <w:tc>
          <w:tcPr>
            <w:tcW w:w="7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思政专项</w:t>
            </w:r>
          </w:p>
        </w:tc>
        <w:tc>
          <w:tcPr>
            <w:tcW w:w="1000" w:type="dxa"/>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贺爱英</w:t>
            </w:r>
          </w:p>
        </w:tc>
        <w:tc>
          <w:tcPr>
            <w:tcW w:w="2467" w:type="dxa"/>
            <w:shd w:val="clear" w:color="auto" w:fill="auto"/>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马光焱、程颖、于影、王晓珊、张一璠</w:t>
            </w:r>
          </w:p>
        </w:tc>
        <w:tc>
          <w:tcPr>
            <w:tcW w:w="145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马克思主义学院</w:t>
            </w:r>
          </w:p>
        </w:tc>
      </w:tr>
    </w:tbl>
    <w:p>
      <w:pPr>
        <w:spacing w:line="360" w:lineRule="auto"/>
        <w:ind w:firstLine="480"/>
        <w:rPr>
          <w:rFonts w:hint="eastAsia" w:ascii="宋体" w:hAnsi="宋体" w:eastAsia="宋体" w:cs="宋体"/>
          <w:sz w:val="24"/>
          <w:szCs w:val="24"/>
        </w:rPr>
      </w:pPr>
    </w:p>
    <w:p>
      <w:pPr>
        <w:spacing w:line="360" w:lineRule="auto"/>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长春工业大学高等教育研究所</w:t>
      </w:r>
    </w:p>
    <w:p>
      <w:pPr>
        <w:spacing w:line="360" w:lineRule="auto"/>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2019年11月29日</w:t>
      </w:r>
    </w:p>
    <w:p>
      <w:pPr>
        <w:spacing w:line="360" w:lineRule="auto"/>
        <w:ind w:firstLine="480"/>
        <w:jc w:val="right"/>
        <w:rPr>
          <w:rFonts w:hint="eastAsia" w:ascii="宋体" w:hAnsi="宋体" w:eastAsia="宋体" w:cs="宋体"/>
          <w:sz w:val="24"/>
          <w:szCs w:val="24"/>
        </w:rPr>
      </w:pPr>
    </w:p>
    <w:p>
      <w:pPr>
        <w:rPr>
          <w:rFonts w:hint="eastAsia"/>
          <w:lang w:val="en-US" w:eastAsia="zh-CN"/>
        </w:rPr>
      </w:pPr>
    </w:p>
    <w:sectPr>
      <w:headerReference r:id="rId3" w:type="default"/>
      <w:pgSz w:w="11906" w:h="16838"/>
      <w:pgMar w:top="1480" w:right="1800" w:bottom="2338" w:left="1800" w:header="261" w:footer="1045"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1260" w:leftChars="-600" w:firstLine="0" w:firstLineChars="0"/>
      <w:rPr>
        <w:rFonts w:hint="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3897630</wp:posOffset>
              </wp:positionH>
              <wp:positionV relativeFrom="paragraph">
                <wp:posOffset>257810</wp:posOffset>
              </wp:positionV>
              <wp:extent cx="2035175" cy="577215"/>
              <wp:effectExtent l="0" t="0" r="3175" b="13335"/>
              <wp:wrapNone/>
              <wp:docPr id="1" name="矩形 1"/>
              <wp:cNvGraphicFramePr/>
              <a:graphic xmlns:a="http://schemas.openxmlformats.org/drawingml/2006/main">
                <a:graphicData uri="http://schemas.microsoft.com/office/word/2010/wordprocessingShape">
                  <wps:wsp>
                    <wps:cNvSpPr/>
                    <wps:spPr>
                      <a:xfrm>
                        <a:off x="5454650" y="385445"/>
                        <a:ext cx="2035175" cy="5772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shd w:val="clear" w:fill="FFFFFF" w:themeFill="background1"/>
                            <w:jc w:val="center"/>
                            <w:rPr>
                              <w:rFonts w:hint="eastAsia" w:ascii="华文中宋" w:hAnsi="华文中宋" w:eastAsia="华文中宋" w:cs="华文中宋"/>
                              <w:b/>
                              <w:bCs/>
                              <w:color w:val="7F7F7F" w:themeColor="background1" w:themeShade="80"/>
                              <w:sz w:val="44"/>
                              <w:szCs w:val="44"/>
                              <w:lang w:val="en-US" w:eastAsia="zh-CN"/>
                            </w:rPr>
                          </w:pPr>
                          <w:r>
                            <w:rPr>
                              <w:rFonts w:hint="eastAsia" w:ascii="华文中宋" w:hAnsi="华文中宋" w:eastAsia="华文中宋" w:cs="华文中宋"/>
                              <w:b/>
                              <w:bCs/>
                              <w:color w:val="7F7F7F" w:themeColor="background1" w:themeShade="80"/>
                              <w:sz w:val="44"/>
                              <w:szCs w:val="44"/>
                              <w:lang w:val="en-US" w:eastAsia="zh-CN"/>
                            </w:rPr>
                            <w:t>高教研究所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6.9pt;margin-top:20.3pt;height:45.45pt;width:160.25pt;z-index:251659264;v-text-anchor:middle;mso-width-relative:page;mso-height-relative:page;" fillcolor="#FFFFFF [3212]" filled="t" stroked="f" coordsize="21600,21600" o:gfxdata="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UXiOp2QAAAAoBAAAPAAAAAAAAAAEAIAAAACIAAABkcnMvZG93bnJldi54bWxQSwECFAAU&#10;AAAACACHTuJANJ79BmICAACTBAAADgAAAAAAAAABACAAAAAoAQAAZHJzL2Uyb0RvYy54bWxQSwUG&#10;AAAAAAYABgBZAQAA/AUAAAAA&#10;">
              <v:fill on="t" focussize="0,0"/>
              <v:stroke on="f" weight="1pt" miterlimit="8" joinstyle="miter"/>
              <v:imagedata o:title=""/>
              <o:lock v:ext="edit" aspectratio="f"/>
              <v:textbox>
                <w:txbxContent>
                  <w:p>
                    <w:pPr>
                      <w:shd w:val="clear" w:fill="FFFFFF" w:themeFill="background1"/>
                      <w:jc w:val="center"/>
                      <w:rPr>
                        <w:rFonts w:hint="eastAsia" w:ascii="华文中宋" w:hAnsi="华文中宋" w:eastAsia="华文中宋" w:cs="华文中宋"/>
                        <w:b/>
                        <w:bCs/>
                        <w:color w:val="7F7F7F" w:themeColor="background1" w:themeShade="80"/>
                        <w:sz w:val="44"/>
                        <w:szCs w:val="44"/>
                        <w:lang w:val="en-US" w:eastAsia="zh-CN"/>
                      </w:rPr>
                    </w:pPr>
                    <w:r>
                      <w:rPr>
                        <w:rFonts w:hint="eastAsia" w:ascii="华文中宋" w:hAnsi="华文中宋" w:eastAsia="华文中宋" w:cs="华文中宋"/>
                        <w:b/>
                        <w:bCs/>
                        <w:color w:val="7F7F7F" w:themeColor="background1" w:themeShade="80"/>
                        <w:sz w:val="44"/>
                        <w:szCs w:val="44"/>
                        <w:lang w:val="en-US" w:eastAsia="zh-CN"/>
                      </w:rPr>
                      <w:t>高教研究所</w:t>
                    </w:r>
                  </w:p>
                </w:txbxContent>
              </v:textbox>
            </v:rect>
          </w:pict>
        </mc:Fallback>
      </mc:AlternateContent>
    </w:r>
    <w:r>
      <w:rPr>
        <w:rFonts w:hint="eastAsia"/>
        <w:lang w:eastAsia="zh-CN"/>
      </w:rPr>
      <w:drawing>
        <wp:anchor distT="0" distB="0" distL="114300" distR="114300" simplePos="0" relativeHeight="251658240" behindDoc="1" locked="0" layoutInCell="1" allowOverlap="1">
          <wp:simplePos x="0" y="0"/>
          <wp:positionH relativeFrom="column">
            <wp:posOffset>-800100</wp:posOffset>
          </wp:positionH>
          <wp:positionV relativeFrom="paragraph">
            <wp:posOffset>0</wp:posOffset>
          </wp:positionV>
          <wp:extent cx="6870700" cy="9639935"/>
          <wp:effectExtent l="0" t="0" r="6350" b="18415"/>
          <wp:wrapNone/>
          <wp:docPr id="2" name="图片 2" descr="内页21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内页210-297"/>
                  <pic:cNvPicPr>
                    <a:picLocks noChangeAspect="1"/>
                  </pic:cNvPicPr>
                </pic:nvPicPr>
                <pic:blipFill>
                  <a:blip r:embed="rId1"/>
                  <a:stretch>
                    <a:fillRect/>
                  </a:stretch>
                </pic:blipFill>
                <pic:spPr>
                  <a:xfrm>
                    <a:off x="0" y="0"/>
                    <a:ext cx="6870700" cy="96399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13701"/>
    <w:rsid w:val="1D231173"/>
    <w:rsid w:val="25F4322E"/>
    <w:rsid w:val="2C7151F3"/>
    <w:rsid w:val="2EAE7E31"/>
    <w:rsid w:val="35AA25B5"/>
    <w:rsid w:val="38F40A47"/>
    <w:rsid w:val="42F509F6"/>
    <w:rsid w:val="734B38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rFonts w:ascii="Calibri" w:hAnsi="Calibri" w:eastAsia="华文中宋"/>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FollowedHyperlink"/>
    <w:basedOn w:val="6"/>
    <w:qFormat/>
    <w:uiPriority w:val="0"/>
    <w:rPr>
      <w:color w:val="646464"/>
      <w:sz w:val="18"/>
      <w:szCs w:val="18"/>
      <w:u w:val="none"/>
    </w:rPr>
  </w:style>
  <w:style w:type="character" w:styleId="8">
    <w:name w:val="Hyperlink"/>
    <w:basedOn w:val="6"/>
    <w:qFormat/>
    <w:uiPriority w:val="0"/>
    <w:rPr>
      <w:color w:val="646464"/>
      <w:sz w:val="18"/>
      <w:szCs w:val="18"/>
      <w:u w:val="none"/>
    </w:rPr>
  </w:style>
  <w:style w:type="character" w:customStyle="1" w:styleId="9">
    <w:name w:val="标题 1 Char"/>
    <w:link w:val="2"/>
    <w:qFormat/>
    <w:uiPriority w:val="0"/>
    <w:rPr>
      <w:rFonts w:ascii="Calibri" w:hAnsi="Calibri" w:eastAsia="华文中宋"/>
      <w:b/>
      <w:bCs/>
      <w:kern w:val="44"/>
      <w:sz w:val="44"/>
      <w:szCs w:val="44"/>
    </w:rPr>
  </w:style>
  <w:style w:type="character" w:customStyle="1" w:styleId="10">
    <w:name w:val="item-name"/>
    <w:basedOn w:val="6"/>
    <w:qFormat/>
    <w:uiPriority w:val="0"/>
  </w:style>
  <w:style w:type="character" w:customStyle="1" w:styleId="11">
    <w:name w:val="item-name1"/>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2</Pages>
  <Words>1127</Words>
  <Characters>1155</Characters>
  <Lines>0</Lines>
  <Paragraphs>0</Paragraphs>
  <TotalTime>19</TotalTime>
  <ScaleCrop>false</ScaleCrop>
  <LinksUpToDate>false</LinksUpToDate>
  <CharactersWithSpaces>1157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cp:lastPrinted>2016-11-01T00:56:00Z</cp:lastPrinted>
  <dcterms:modified xsi:type="dcterms:W3CDTF">2019-11-29T07:25:53Z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